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E6B" w:rsidRDefault="00844E6B" w:rsidP="00CD3AE0">
      <w:pPr>
        <w:shd w:val="clear" w:color="auto" w:fill="FFFFFF"/>
        <w:spacing w:after="240" w:line="240" w:lineRule="atLeast"/>
        <w:jc w:val="both"/>
        <w:rPr>
          <w:rFonts w:ascii="Arial" w:eastAsia="Times New Roman" w:hAnsi="Arial" w:cs="Arial"/>
          <w:b/>
          <w:bCs/>
          <w:color w:val="333333"/>
          <w:sz w:val="24"/>
          <w:szCs w:val="24"/>
          <w:lang w:eastAsia="it-IT"/>
        </w:rPr>
      </w:pPr>
    </w:p>
    <w:p w:rsidR="00CD3AE0" w:rsidRPr="00CD3AE0" w:rsidRDefault="00CD3AE0" w:rsidP="00CD3AE0">
      <w:pPr>
        <w:shd w:val="clear" w:color="auto" w:fill="FFFFFF"/>
        <w:spacing w:after="240" w:line="240" w:lineRule="atLeast"/>
        <w:jc w:val="both"/>
        <w:rPr>
          <w:rFonts w:ascii="Arial" w:eastAsia="Times New Roman" w:hAnsi="Arial" w:cs="Arial"/>
          <w:color w:val="000000"/>
          <w:sz w:val="18"/>
          <w:szCs w:val="18"/>
          <w:lang w:eastAsia="it-IT"/>
        </w:rPr>
      </w:pPr>
      <w:r w:rsidRPr="00CD3AE0">
        <w:rPr>
          <w:rFonts w:ascii="Arial" w:eastAsia="Times New Roman" w:hAnsi="Arial" w:cs="Arial"/>
          <w:b/>
          <w:bCs/>
          <w:color w:val="333333"/>
          <w:sz w:val="24"/>
          <w:szCs w:val="24"/>
          <w:lang w:eastAsia="it-IT"/>
        </w:rPr>
        <w:t>Progettazione didattica delle attività di alternanza scuola lavoro</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La buona riuscita dei percorsi di alternanza richiede la presenza di alcuni elementi indispensabili di coordinamento e di co</w:t>
      </w:r>
      <w:r w:rsidR="00FA1504">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progettazione:</w:t>
      </w:r>
    </w:p>
    <w:p w:rsidR="00CD3AE0" w:rsidRPr="00CD3AE0" w:rsidRDefault="00CD3AE0" w:rsidP="00CD3AE0">
      <w:pPr>
        <w:numPr>
          <w:ilvl w:val="0"/>
          <w:numId w:val="1"/>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color w:val="333333"/>
          <w:sz w:val="24"/>
          <w:szCs w:val="24"/>
          <w:lang w:eastAsia="it-IT"/>
        </w:rPr>
        <w:t>un</w:t>
      </w:r>
      <w:proofErr w:type="gramEnd"/>
      <w:r w:rsidRPr="00CD3AE0">
        <w:rPr>
          <w:rFonts w:ascii="Arial" w:eastAsia="Times New Roman" w:hAnsi="Arial" w:cs="Arial"/>
          <w:color w:val="333333"/>
          <w:sz w:val="24"/>
          <w:szCs w:val="24"/>
          <w:lang w:eastAsia="it-IT"/>
        </w:rPr>
        <w:t> </w:t>
      </w:r>
      <w:r w:rsidRPr="00CD3AE0">
        <w:rPr>
          <w:rFonts w:ascii="Arial" w:eastAsia="Times New Roman" w:hAnsi="Arial" w:cs="Arial"/>
          <w:b/>
          <w:bCs/>
          <w:color w:val="333333"/>
          <w:sz w:val="24"/>
          <w:szCs w:val="24"/>
          <w:lang w:eastAsia="it-IT"/>
        </w:rPr>
        <w:t>accordo tra i soggetti</w:t>
      </w:r>
      <w:r w:rsidRPr="00CD3AE0">
        <w:rPr>
          <w:rFonts w:ascii="Arial" w:eastAsia="Times New Roman" w:hAnsi="Arial" w:cs="Arial"/>
          <w:color w:val="333333"/>
          <w:sz w:val="24"/>
          <w:szCs w:val="24"/>
          <w:lang w:eastAsia="it-IT"/>
        </w:rPr>
        <w:t> (scuola/impresa o altra struttura ospitante) che assicurano il supporto formativo al giovane che apprende; questo accordo non può limitarsi ad una intesa programmatica (definizione di obiettivi e azioni da svolgere), ma deve promuovere la collaborazione a livello organizzativo, progettuale, attuativo e puntare ad un controllo congiunto del percorso formativo e alla valutazione condivisa dei risultati di apprendimento;</w:t>
      </w:r>
    </w:p>
    <w:p w:rsidR="00CD3AE0" w:rsidRPr="00CD3AE0" w:rsidRDefault="00CD3AE0" w:rsidP="00CD3AE0">
      <w:pPr>
        <w:numPr>
          <w:ilvl w:val="0"/>
          <w:numId w:val="1"/>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color w:val="333333"/>
          <w:sz w:val="24"/>
          <w:szCs w:val="24"/>
          <w:lang w:eastAsia="it-IT"/>
        </w:rPr>
        <w:t>la</w:t>
      </w:r>
      <w:proofErr w:type="gramEnd"/>
      <w:r w:rsidRPr="00CD3AE0">
        <w:rPr>
          <w:rFonts w:ascii="Arial" w:eastAsia="Times New Roman" w:hAnsi="Arial" w:cs="Arial"/>
          <w:color w:val="333333"/>
          <w:sz w:val="24"/>
          <w:szCs w:val="24"/>
          <w:lang w:eastAsia="it-IT"/>
        </w:rPr>
        <w:t> </w:t>
      </w:r>
      <w:r w:rsidRPr="00CD3AE0">
        <w:rPr>
          <w:rFonts w:ascii="Arial" w:eastAsia="Times New Roman" w:hAnsi="Arial" w:cs="Arial"/>
          <w:b/>
          <w:bCs/>
          <w:color w:val="333333"/>
          <w:sz w:val="24"/>
          <w:szCs w:val="24"/>
          <w:lang w:eastAsia="it-IT"/>
        </w:rPr>
        <w:t>progettazione dell’intero percorso</w:t>
      </w:r>
      <w:r w:rsidRPr="00CD3AE0">
        <w:rPr>
          <w:rFonts w:ascii="Arial" w:eastAsia="Times New Roman" w:hAnsi="Arial" w:cs="Arial"/>
          <w:color w:val="333333"/>
          <w:sz w:val="24"/>
          <w:szCs w:val="24"/>
          <w:lang w:eastAsia="it-IT"/>
        </w:rPr>
        <w:t>, sia delle attività in aula che dei periodi di permanenza nella struttura ospitante, condivisa e approvata non solo dai docenti della scuola e dai responsabili della struttura stessa, ma anche dallo studente, che assume così una consapevolezza e una responsabilità diretta nei confronti del proprio apprendimento;</w:t>
      </w:r>
    </w:p>
    <w:p w:rsidR="00CD3AE0" w:rsidRPr="00CD3AE0" w:rsidRDefault="00CD3AE0" w:rsidP="00CD3AE0">
      <w:pPr>
        <w:numPr>
          <w:ilvl w:val="0"/>
          <w:numId w:val="1"/>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color w:val="333333"/>
          <w:sz w:val="24"/>
          <w:szCs w:val="24"/>
          <w:lang w:eastAsia="it-IT"/>
        </w:rPr>
        <w:t>la</w:t>
      </w:r>
      <w:proofErr w:type="gramEnd"/>
      <w:r w:rsidRPr="00CD3AE0">
        <w:rPr>
          <w:rFonts w:ascii="Arial" w:eastAsia="Times New Roman" w:hAnsi="Arial" w:cs="Arial"/>
          <w:color w:val="333333"/>
          <w:sz w:val="24"/>
          <w:szCs w:val="24"/>
          <w:lang w:eastAsia="it-IT"/>
        </w:rPr>
        <w:t xml:space="preserve"> rilevanza delle attività previste dal progetto di alternanza rispetto al </w:t>
      </w:r>
      <w:r w:rsidRPr="00CD3AE0">
        <w:rPr>
          <w:rFonts w:ascii="Arial" w:eastAsia="Times New Roman" w:hAnsi="Arial" w:cs="Arial"/>
          <w:b/>
          <w:bCs/>
          <w:color w:val="333333"/>
          <w:sz w:val="24"/>
          <w:szCs w:val="24"/>
          <w:lang w:eastAsia="it-IT"/>
        </w:rPr>
        <w:t>percorso individuale di apprendimento</w:t>
      </w:r>
      <w:r w:rsidRPr="00CD3AE0">
        <w:rPr>
          <w:rFonts w:ascii="Arial" w:eastAsia="Times New Roman" w:hAnsi="Arial" w:cs="Arial"/>
          <w:color w:val="333333"/>
          <w:sz w:val="24"/>
          <w:szCs w:val="24"/>
          <w:lang w:eastAsia="it-IT"/>
        </w:rPr>
        <w:t>, anche quando queste sono realizzate in situazioni che prevedono il coinvolgimento dell’intera classe o di gruppi di studenti, con particolare attenzione alla promozione dell’autonomia del giovane coerentemente con il progetto personalizzato;</w:t>
      </w:r>
    </w:p>
    <w:p w:rsidR="00CD3AE0" w:rsidRPr="00CD3AE0" w:rsidRDefault="00CD3AE0" w:rsidP="00CD3AE0">
      <w:pPr>
        <w:numPr>
          <w:ilvl w:val="0"/>
          <w:numId w:val="1"/>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color w:val="333333"/>
          <w:sz w:val="24"/>
          <w:szCs w:val="24"/>
          <w:lang w:eastAsia="it-IT"/>
        </w:rPr>
        <w:t>un</w:t>
      </w:r>
      <w:proofErr w:type="gramEnd"/>
      <w:r w:rsidRPr="00CD3AE0">
        <w:rPr>
          <w:rFonts w:ascii="Arial" w:eastAsia="Times New Roman" w:hAnsi="Arial" w:cs="Arial"/>
          <w:b/>
          <w:bCs/>
          <w:color w:val="333333"/>
          <w:sz w:val="24"/>
          <w:szCs w:val="24"/>
          <w:lang w:eastAsia="it-IT"/>
        </w:rPr>
        <w:t> flusso costante di informazioni</w:t>
      </w:r>
      <w:r w:rsidRPr="00CD3AE0">
        <w:rPr>
          <w:rFonts w:ascii="Arial" w:eastAsia="Times New Roman" w:hAnsi="Arial" w:cs="Arial"/>
          <w:color w:val="333333"/>
          <w:sz w:val="24"/>
          <w:szCs w:val="24"/>
          <w:lang w:eastAsia="it-IT"/>
        </w:rPr>
        <w:t> tra i vari soggetti coinvolti, ciascuno dei quali non si limita solo alla realizzazione delle azioni di sua competenza, ma deve preoccuparsi anche del collegamento con le attività realizzate da altri soggetti. La progettazione dei percorsi di alternanza scuola lavoro, dunque, deve considerare sia la dimensione curriculare, sia la dimensione esperienziale, svolta in contesti lavorativi. Le due dimensioni vanno integrate in un percorso unitario che miri allo sviluppo di competenze richieste dal profilo educativo, culturale e professionale del corso di studi e spendibili nel mondo del lavoro.</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b/>
          <w:bCs/>
          <w:color w:val="333333"/>
          <w:sz w:val="24"/>
          <w:szCs w:val="24"/>
          <w:lang w:eastAsia="it-IT"/>
        </w:rPr>
        <w:t>a. Ruolo del Comitato Scientifico (CS)</w:t>
      </w:r>
    </w:p>
    <w:p w:rsidR="00844E6B" w:rsidRDefault="00CD3AE0" w:rsidP="00CD3AE0">
      <w:pPr>
        <w:shd w:val="clear" w:color="auto" w:fill="FFFFFF"/>
        <w:spacing w:after="135" w:line="315" w:lineRule="atLeast"/>
        <w:jc w:val="both"/>
        <w:rPr>
          <w:rFonts w:ascii="Arial" w:eastAsia="Times New Roman" w:hAnsi="Arial" w:cs="Arial"/>
          <w:color w:val="333333"/>
          <w:sz w:val="24"/>
          <w:szCs w:val="24"/>
          <w:lang w:eastAsia="it-IT"/>
        </w:rPr>
      </w:pPr>
      <w:r w:rsidRPr="00CD3AE0">
        <w:rPr>
          <w:rFonts w:ascii="Arial" w:eastAsia="Times New Roman" w:hAnsi="Arial" w:cs="Arial"/>
          <w:color w:val="333333"/>
          <w:sz w:val="24"/>
          <w:szCs w:val="24"/>
          <w:lang w:eastAsia="it-IT"/>
        </w:rPr>
        <w:t>Come previsto dai nuovi ordinamenti, la scuola può innovare la propria struttura organizzativa attraverso l’articolazione del Collegio dei docenti in Dipartimenti e la costituzione del </w:t>
      </w:r>
      <w:r w:rsidRPr="00CD3AE0">
        <w:rPr>
          <w:rFonts w:ascii="Arial" w:eastAsia="Times New Roman" w:hAnsi="Arial" w:cs="Arial"/>
          <w:b/>
          <w:bCs/>
          <w:color w:val="333333"/>
          <w:sz w:val="24"/>
          <w:szCs w:val="24"/>
          <w:lang w:eastAsia="it-IT"/>
        </w:rPr>
        <w:t>Comitato Scientifico</w:t>
      </w:r>
      <w:r w:rsidRPr="00CD3AE0">
        <w:rPr>
          <w:rFonts w:ascii="Arial" w:eastAsia="Times New Roman" w:hAnsi="Arial" w:cs="Arial"/>
          <w:color w:val="333333"/>
          <w:sz w:val="24"/>
          <w:szCs w:val="24"/>
          <w:lang w:eastAsia="it-IT"/>
        </w:rPr>
        <w:t> nei </w:t>
      </w:r>
      <w:r w:rsidRPr="00CD3AE0">
        <w:rPr>
          <w:rFonts w:ascii="Arial" w:eastAsia="Times New Roman" w:hAnsi="Arial" w:cs="Arial"/>
          <w:b/>
          <w:bCs/>
          <w:color w:val="333333"/>
          <w:sz w:val="24"/>
          <w:szCs w:val="24"/>
          <w:lang w:eastAsia="it-IT"/>
        </w:rPr>
        <w:t>licei</w:t>
      </w:r>
      <w:r w:rsidRPr="00CD3AE0">
        <w:rPr>
          <w:rFonts w:ascii="Arial" w:eastAsia="Times New Roman" w:hAnsi="Arial" w:cs="Arial"/>
          <w:color w:val="333333"/>
          <w:sz w:val="24"/>
          <w:szCs w:val="24"/>
          <w:lang w:eastAsia="it-IT"/>
        </w:rPr>
        <w:t>.</w:t>
      </w:r>
      <w:r w:rsidR="00FA1504">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La scuola può anche dotarsi di un </w:t>
      </w:r>
      <w:r w:rsidRPr="00CD3AE0">
        <w:rPr>
          <w:rFonts w:ascii="Arial" w:eastAsia="Times New Roman" w:hAnsi="Arial" w:cs="Arial"/>
          <w:b/>
          <w:bCs/>
          <w:color w:val="333333"/>
          <w:sz w:val="24"/>
          <w:szCs w:val="24"/>
          <w:lang w:eastAsia="it-IT"/>
        </w:rPr>
        <w:t>gruppo dedicato all’alternanza</w:t>
      </w:r>
      <w:r w:rsidRPr="00CD3AE0">
        <w:rPr>
          <w:rFonts w:ascii="Arial" w:eastAsia="Times New Roman" w:hAnsi="Arial" w:cs="Arial"/>
          <w:color w:val="333333"/>
          <w:sz w:val="24"/>
          <w:szCs w:val="24"/>
          <w:lang w:eastAsia="it-IT"/>
        </w:rPr>
        <w:t>, come già avviene in molti istituti, cui possono partecipare soggetti esterni, che hanno competenze non presenti nella scuola, necessarie per affrontare l’esperienza di lavoro.</w:t>
      </w:r>
      <w:r w:rsidR="00FA1504">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Il Comitato Scientifico riveste un ruolo fondamentale per l’apertura della scuola all’esterno. La costituzione dei CS può contribuire a migliorare la dimensione organizzativa della scuola, collegando l’autonomia scolastica al più vasto sistema delle</w:t>
      </w:r>
      <w:r w:rsidR="002D0E35">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autonomie territoriali e alla capacità di auto-organizzazione della scuola, per rispondere meglio alle sfide dell’innovazione.</w:t>
      </w:r>
      <w:r w:rsidR="00FA1504">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 xml:space="preserve">I CS svolgono un ruolo di raccordo sinergico tra gli obiettivi educativi della scuola, le </w:t>
      </w:r>
      <w:r w:rsidRPr="00CD3AE0">
        <w:rPr>
          <w:rFonts w:ascii="Arial" w:eastAsia="Times New Roman" w:hAnsi="Arial" w:cs="Arial"/>
          <w:color w:val="333333"/>
          <w:sz w:val="24"/>
          <w:szCs w:val="24"/>
          <w:lang w:eastAsia="it-IT"/>
        </w:rPr>
        <w:lastRenderedPageBreak/>
        <w:t xml:space="preserve">innovazioni della ricerca scientifica e tecnologica, le esigenze del territorio e i fabbisogni professionali espressi dal mondo produttivo. </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b/>
          <w:bCs/>
          <w:color w:val="333333"/>
          <w:sz w:val="24"/>
          <w:szCs w:val="24"/>
          <w:lang w:eastAsia="it-IT"/>
        </w:rPr>
        <w:t>b. Coerenza con il Piano dell’Offerta Formativa dell’istituzione scolastica</w:t>
      </w:r>
      <w:r w:rsidRPr="00CD3AE0">
        <w:rPr>
          <w:rFonts w:ascii="Arial" w:eastAsia="Times New Roman" w:hAnsi="Arial" w:cs="Arial"/>
          <w:color w:val="333333"/>
          <w:sz w:val="24"/>
          <w:szCs w:val="24"/>
          <w:lang w:eastAsia="it-IT"/>
        </w:rPr>
        <w:br/>
        <w:t>La progettazione dei percorsi in alternanza, che con la legge 107/2015 assume una dimensione triennale, contribuisce a sviluppare le competenze richieste dal profilo educativo, culturale e professionale del corso di studi. Il concetto di competenza, intesa come «</w:t>
      </w:r>
      <w:r w:rsidR="00FA1504">
        <w:rPr>
          <w:rFonts w:ascii="Arial" w:eastAsia="Times New Roman" w:hAnsi="Arial" w:cs="Arial"/>
          <w:color w:val="333333"/>
          <w:sz w:val="24"/>
          <w:szCs w:val="24"/>
          <w:lang w:eastAsia="it-IT"/>
        </w:rPr>
        <w:t>comprovata capacità di utilizza</w:t>
      </w:r>
      <w:r w:rsidRPr="00CD3AE0">
        <w:rPr>
          <w:rFonts w:ascii="Arial" w:eastAsia="Times New Roman" w:hAnsi="Arial" w:cs="Arial"/>
          <w:color w:val="333333"/>
          <w:sz w:val="24"/>
          <w:szCs w:val="24"/>
          <w:lang w:eastAsia="it-IT"/>
        </w:rPr>
        <w:t>re, in situazioni di lavoro, di studio o nello sviluppo professionale e personale, un insieme strutturato di conoscenze e di abilità acquisite nei contesti di apprendimento formale, non formale o informale», presuppone l’integrazione di conoscenze con abilità personali e relazionali; l’alternanza può, quindi, offrire allo studente occasioni per risolvere problemi e assumere compiti e iniziative autonome, per apprendere attraverso l’esperienza e per elaborarla/rielaborarla all’interno di un contesto operativo.</w:t>
      </w:r>
      <w:r w:rsidR="002D0E35">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Dalle esperienze maturate dalle scuole emergono le seguenti indicazioni rispetto alle attività utili per l’elaborazione di un progetto di alternanza da inserire nel Piano dell’Offerta Formativa:</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definire</w:t>
      </w:r>
      <w:proofErr w:type="gramEnd"/>
      <w:r w:rsidRPr="00CD3AE0">
        <w:rPr>
          <w:rFonts w:ascii="Arial" w:eastAsia="Times New Roman" w:hAnsi="Arial" w:cs="Arial"/>
          <w:b/>
          <w:bCs/>
          <w:color w:val="333333"/>
          <w:sz w:val="24"/>
          <w:szCs w:val="24"/>
          <w:lang w:eastAsia="it-IT"/>
        </w:rPr>
        <w:t xml:space="preserve"> le competenze attese dall’esperienza di alternanza</w:t>
      </w:r>
      <w:r w:rsidRPr="00CD3AE0">
        <w:rPr>
          <w:rFonts w:ascii="Arial" w:eastAsia="Times New Roman" w:hAnsi="Arial" w:cs="Arial"/>
          <w:color w:val="333333"/>
          <w:sz w:val="24"/>
          <w:szCs w:val="24"/>
          <w:lang w:eastAsia="it-IT"/>
        </w:rPr>
        <w:t>, in termini di orientamento e di agevole inserimento dei giovani nel mondo del lavoro;</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progettare</w:t>
      </w:r>
      <w:proofErr w:type="gramEnd"/>
      <w:r w:rsidRPr="00CD3AE0">
        <w:rPr>
          <w:rFonts w:ascii="Arial" w:eastAsia="Times New Roman" w:hAnsi="Arial" w:cs="Arial"/>
          <w:b/>
          <w:bCs/>
          <w:color w:val="333333"/>
          <w:sz w:val="24"/>
          <w:szCs w:val="24"/>
          <w:lang w:eastAsia="it-IT"/>
        </w:rPr>
        <w:t xml:space="preserve"> con la struttura ospitante il percorso da realizzare</w:t>
      </w:r>
      <w:r w:rsidRPr="00CD3AE0">
        <w:rPr>
          <w:rFonts w:ascii="Arial" w:eastAsia="Times New Roman" w:hAnsi="Arial" w:cs="Arial"/>
          <w:color w:val="333333"/>
          <w:sz w:val="24"/>
          <w:szCs w:val="24"/>
          <w:lang w:eastAsia="it-IT"/>
        </w:rPr>
        <w:t>, coerente con le competenze, abilità e conoscenze da acquisire;</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preparare</w:t>
      </w:r>
      <w:proofErr w:type="gramEnd"/>
      <w:r w:rsidRPr="00CD3AE0">
        <w:rPr>
          <w:rFonts w:ascii="Arial" w:eastAsia="Times New Roman" w:hAnsi="Arial" w:cs="Arial"/>
          <w:b/>
          <w:bCs/>
          <w:color w:val="333333"/>
          <w:sz w:val="24"/>
          <w:szCs w:val="24"/>
          <w:lang w:eastAsia="it-IT"/>
        </w:rPr>
        <w:t xml:space="preserve"> i periodi di apprendimento mediante esperienze di lavoro</w:t>
      </w:r>
      <w:r w:rsidRPr="00CD3AE0">
        <w:rPr>
          <w:rFonts w:ascii="Arial" w:eastAsia="Times New Roman" w:hAnsi="Arial" w:cs="Arial"/>
          <w:color w:val="333333"/>
          <w:sz w:val="24"/>
          <w:szCs w:val="24"/>
          <w:lang w:eastAsia="it-IT"/>
        </w:rPr>
        <w:t>, programmando lo sviluppo di quelle conoscenze necessarie per orientarsi, comprendere e trarre il massimo beneficio dal nuovo ambiente di studio;</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sensibilizzare</w:t>
      </w:r>
      <w:proofErr w:type="gramEnd"/>
      <w:r w:rsidRPr="00CD3AE0">
        <w:rPr>
          <w:rFonts w:ascii="Arial" w:eastAsia="Times New Roman" w:hAnsi="Arial" w:cs="Arial"/>
          <w:b/>
          <w:bCs/>
          <w:color w:val="333333"/>
          <w:sz w:val="24"/>
          <w:szCs w:val="24"/>
          <w:lang w:eastAsia="it-IT"/>
        </w:rPr>
        <w:t xml:space="preserve"> e orientare gli studenti</w:t>
      </w:r>
      <w:r w:rsidRPr="00CD3AE0">
        <w:rPr>
          <w:rFonts w:ascii="Arial" w:eastAsia="Times New Roman" w:hAnsi="Arial" w:cs="Arial"/>
          <w:color w:val="333333"/>
          <w:sz w:val="24"/>
          <w:szCs w:val="24"/>
          <w:lang w:eastAsia="it-IT"/>
        </w:rPr>
        <w:t> a riflettere sulle loro attese relative all’esperienza lavorativa;</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stimolare</w:t>
      </w:r>
      <w:proofErr w:type="gramEnd"/>
      <w:r w:rsidRPr="00CD3AE0">
        <w:rPr>
          <w:rFonts w:ascii="Arial" w:eastAsia="Times New Roman" w:hAnsi="Arial" w:cs="Arial"/>
          <w:b/>
          <w:bCs/>
          <w:color w:val="333333"/>
          <w:sz w:val="24"/>
          <w:szCs w:val="24"/>
          <w:lang w:eastAsia="it-IT"/>
        </w:rPr>
        <w:t xml:space="preserve"> gli studenti all’osservazione</w:t>
      </w:r>
      <w:r w:rsidRPr="00CD3AE0">
        <w:rPr>
          <w:rFonts w:ascii="Arial" w:eastAsia="Times New Roman" w:hAnsi="Arial" w:cs="Arial"/>
          <w:color w:val="333333"/>
          <w:sz w:val="24"/>
          <w:szCs w:val="24"/>
          <w:lang w:eastAsia="it-IT"/>
        </w:rPr>
        <w:t> delle dinamiche organizzative e dei rapporti tra soggetti nell’impresa o nell’ente ospitante;</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condividere</w:t>
      </w:r>
      <w:proofErr w:type="gramEnd"/>
      <w:r w:rsidRPr="00CD3AE0">
        <w:rPr>
          <w:rFonts w:ascii="Arial" w:eastAsia="Times New Roman" w:hAnsi="Arial" w:cs="Arial"/>
          <w:b/>
          <w:bCs/>
          <w:color w:val="333333"/>
          <w:sz w:val="24"/>
          <w:szCs w:val="24"/>
          <w:lang w:eastAsia="it-IT"/>
        </w:rPr>
        <w:t xml:space="preserve"> e rielaborare in aula quanto sperimentato</w:t>
      </w:r>
      <w:r w:rsidRPr="00CD3AE0">
        <w:rPr>
          <w:rFonts w:ascii="Arial" w:eastAsia="Times New Roman" w:hAnsi="Arial" w:cs="Arial"/>
          <w:color w:val="333333"/>
          <w:sz w:val="24"/>
          <w:szCs w:val="24"/>
          <w:lang w:eastAsia="it-IT"/>
        </w:rPr>
        <w:t> fuori dall’aula;</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documentare</w:t>
      </w:r>
      <w:proofErr w:type="gramEnd"/>
      <w:r w:rsidRPr="00CD3AE0">
        <w:rPr>
          <w:rFonts w:ascii="Arial" w:eastAsia="Times New Roman" w:hAnsi="Arial" w:cs="Arial"/>
          <w:b/>
          <w:bCs/>
          <w:color w:val="333333"/>
          <w:sz w:val="24"/>
          <w:szCs w:val="24"/>
          <w:lang w:eastAsia="it-IT"/>
        </w:rPr>
        <w:t xml:space="preserve"> l’esperienza realizzata</w:t>
      </w:r>
      <w:r w:rsidRPr="00CD3AE0">
        <w:rPr>
          <w:rFonts w:ascii="Arial" w:eastAsia="Times New Roman" w:hAnsi="Arial" w:cs="Arial"/>
          <w:color w:val="333333"/>
          <w:sz w:val="24"/>
          <w:szCs w:val="24"/>
          <w:lang w:eastAsia="it-IT"/>
        </w:rPr>
        <w:t> (anche attraverso l'utilizzo di ICT);</w:t>
      </w:r>
    </w:p>
    <w:p w:rsidR="00CD3AE0" w:rsidRPr="00CD3AE0" w:rsidRDefault="00CD3AE0" w:rsidP="00CD3AE0">
      <w:pPr>
        <w:numPr>
          <w:ilvl w:val="0"/>
          <w:numId w:val="2"/>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proofErr w:type="gramStart"/>
      <w:r w:rsidRPr="00CD3AE0">
        <w:rPr>
          <w:rFonts w:ascii="Arial" w:eastAsia="Times New Roman" w:hAnsi="Arial" w:cs="Arial"/>
          <w:b/>
          <w:bCs/>
          <w:color w:val="333333"/>
          <w:sz w:val="24"/>
          <w:szCs w:val="24"/>
          <w:lang w:eastAsia="it-IT"/>
        </w:rPr>
        <w:t>disseminare</w:t>
      </w:r>
      <w:proofErr w:type="gramEnd"/>
      <w:r w:rsidRPr="00CD3AE0">
        <w:rPr>
          <w:rFonts w:ascii="Arial" w:eastAsia="Times New Roman" w:hAnsi="Arial" w:cs="Arial"/>
          <w:b/>
          <w:bCs/>
          <w:color w:val="333333"/>
          <w:sz w:val="24"/>
          <w:szCs w:val="24"/>
          <w:lang w:eastAsia="it-IT"/>
        </w:rPr>
        <w:t xml:space="preserve"> i risultati dell’esperienza</w:t>
      </w:r>
      <w:r w:rsidRPr="00CD3AE0">
        <w:rPr>
          <w:rFonts w:ascii="Arial" w:eastAsia="Times New Roman" w:hAnsi="Arial" w:cs="Arial"/>
          <w:color w:val="333333"/>
          <w:sz w:val="24"/>
          <w:szCs w:val="24"/>
          <w:lang w:eastAsia="it-IT"/>
        </w:rPr>
        <w:t>. </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 xml:space="preserve">È evidente come l’alternanza contribuisca alla valorizzazione dell’autonomia scolastica, che trova il suo momento più importante nella definizione e attuazione del piano dell’offerta formativa triennale. La legge individua, tra i numerosi obiettivi che le istituzioni </w:t>
      </w:r>
      <w:r w:rsidR="00FA1504">
        <w:rPr>
          <w:rFonts w:ascii="Arial" w:eastAsia="Times New Roman" w:hAnsi="Arial" w:cs="Arial"/>
          <w:color w:val="333333"/>
          <w:sz w:val="24"/>
          <w:szCs w:val="24"/>
          <w:lang w:eastAsia="it-IT"/>
        </w:rPr>
        <w:t>scolastiche autonome possono in</w:t>
      </w:r>
      <w:r w:rsidRPr="00CD3AE0">
        <w:rPr>
          <w:rFonts w:ascii="Arial" w:eastAsia="Times New Roman" w:hAnsi="Arial" w:cs="Arial"/>
          <w:color w:val="333333"/>
          <w:sz w:val="24"/>
          <w:szCs w:val="24"/>
          <w:lang w:eastAsia="it-IT"/>
        </w:rPr>
        <w:t>serire nel piano triennale, avvalendosi anche di un </w:t>
      </w:r>
      <w:r w:rsidRPr="00CD3AE0">
        <w:rPr>
          <w:rFonts w:ascii="Arial" w:eastAsia="Times New Roman" w:hAnsi="Arial" w:cs="Arial"/>
          <w:b/>
          <w:bCs/>
          <w:color w:val="333333"/>
          <w:sz w:val="24"/>
          <w:szCs w:val="24"/>
          <w:lang w:eastAsia="it-IT"/>
        </w:rPr>
        <w:t>organico potenziato di insegnanti</w:t>
      </w:r>
      <w:r w:rsidRPr="00CD3AE0">
        <w:rPr>
          <w:rFonts w:ascii="Arial" w:eastAsia="Times New Roman" w:hAnsi="Arial" w:cs="Arial"/>
          <w:color w:val="333333"/>
          <w:sz w:val="24"/>
          <w:szCs w:val="24"/>
          <w:lang w:eastAsia="it-IT"/>
        </w:rPr>
        <w:t>, l’incremento dell’alternanza scuola lavoro nel secondo ciclo di istruzione.</w:t>
      </w:r>
    </w:p>
    <w:p w:rsidR="002D0E35" w:rsidRDefault="00CD3AE0" w:rsidP="00CD3AE0">
      <w:pPr>
        <w:shd w:val="clear" w:color="auto" w:fill="FFFFFF"/>
        <w:spacing w:after="135" w:line="315" w:lineRule="atLeast"/>
        <w:jc w:val="both"/>
        <w:rPr>
          <w:rFonts w:ascii="Arial" w:eastAsia="Times New Roman" w:hAnsi="Arial" w:cs="Arial"/>
          <w:color w:val="333333"/>
          <w:sz w:val="24"/>
          <w:szCs w:val="24"/>
          <w:lang w:eastAsia="it-IT"/>
        </w:rPr>
      </w:pPr>
      <w:r w:rsidRPr="00CD3AE0">
        <w:rPr>
          <w:rFonts w:ascii="Arial" w:eastAsia="Times New Roman" w:hAnsi="Arial" w:cs="Arial"/>
          <w:color w:val="333333"/>
          <w:sz w:val="24"/>
          <w:szCs w:val="24"/>
          <w:lang w:eastAsia="it-IT"/>
        </w:rPr>
        <w:t xml:space="preserve">Data la quantità e la qualità degli obiettivi individuati dalla legge, è possibile per le istituzioni scolastiche personalizzare il Piano per rispondere meglio alle esigenze formative ed educative rilevate. In ogni caso, le attività programmate nel progetto di alternanza scuola lavoro sono esplicitate, oltre che nel Piano dell’Offerta Formativa, </w:t>
      </w:r>
      <w:r w:rsidRPr="00CD3AE0">
        <w:rPr>
          <w:rFonts w:ascii="Arial" w:eastAsia="Times New Roman" w:hAnsi="Arial" w:cs="Arial"/>
          <w:color w:val="333333"/>
          <w:sz w:val="24"/>
          <w:szCs w:val="24"/>
          <w:lang w:eastAsia="it-IT"/>
        </w:rPr>
        <w:lastRenderedPageBreak/>
        <w:t>anche nel Patto educativo di corresponsabilità sottoscritto dallo studente e dalla famiglia all’atto dell’iscrizione.</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b/>
          <w:bCs/>
          <w:color w:val="333333"/>
          <w:sz w:val="24"/>
          <w:szCs w:val="24"/>
          <w:lang w:eastAsia="it-IT"/>
        </w:rPr>
        <w:t>c. Tempi e metodi di progettazione</w:t>
      </w:r>
      <w:r w:rsidR="002D0E35">
        <w:rPr>
          <w:rFonts w:ascii="Arial" w:eastAsia="Times New Roman" w:hAnsi="Arial" w:cs="Arial"/>
          <w:b/>
          <w:bCs/>
          <w:color w:val="333333"/>
          <w:sz w:val="24"/>
          <w:szCs w:val="24"/>
          <w:lang w:eastAsia="it-IT"/>
        </w:rPr>
        <w:t xml:space="preserve"> </w:t>
      </w:r>
      <w:r w:rsidRPr="00CD3AE0">
        <w:rPr>
          <w:rFonts w:ascii="Arial" w:eastAsia="Times New Roman" w:hAnsi="Arial" w:cs="Arial"/>
          <w:color w:val="333333"/>
          <w:sz w:val="24"/>
          <w:szCs w:val="24"/>
          <w:lang w:eastAsia="it-IT"/>
        </w:rPr>
        <w:t>L’attività di alternanza si configura come un </w:t>
      </w:r>
      <w:r w:rsidRPr="00CD3AE0">
        <w:rPr>
          <w:rFonts w:ascii="Arial" w:eastAsia="Times New Roman" w:hAnsi="Arial" w:cs="Arial"/>
          <w:b/>
          <w:bCs/>
          <w:color w:val="333333"/>
          <w:sz w:val="24"/>
          <w:szCs w:val="24"/>
          <w:lang w:eastAsia="it-IT"/>
        </w:rPr>
        <w:t>percorso unico e articolato</w:t>
      </w:r>
      <w:r w:rsidRPr="00CD3AE0">
        <w:rPr>
          <w:rFonts w:ascii="Arial" w:eastAsia="Times New Roman" w:hAnsi="Arial" w:cs="Arial"/>
          <w:color w:val="333333"/>
          <w:sz w:val="24"/>
          <w:szCs w:val="24"/>
          <w:lang w:eastAsia="it-IT"/>
        </w:rPr>
        <w:t> da realizzare in contesti operativi con una forte integrazione ed</w:t>
      </w:r>
      <w:r w:rsidRPr="00CD3AE0">
        <w:rPr>
          <w:rFonts w:ascii="Arial" w:eastAsia="Times New Roman" w:hAnsi="Arial" w:cs="Arial"/>
          <w:b/>
          <w:bCs/>
          <w:color w:val="333333"/>
          <w:sz w:val="24"/>
          <w:szCs w:val="24"/>
          <w:lang w:eastAsia="it-IT"/>
        </w:rPr>
        <w:t> equivalenza formativa</w:t>
      </w:r>
      <w:r w:rsidRPr="00CD3AE0">
        <w:rPr>
          <w:rFonts w:ascii="Arial" w:eastAsia="Times New Roman" w:hAnsi="Arial" w:cs="Arial"/>
          <w:color w:val="333333"/>
          <w:sz w:val="24"/>
          <w:szCs w:val="24"/>
          <w:lang w:eastAsia="it-IT"/>
        </w:rPr>
        <w:t> tra esperienza scolastica ed esperienza lavorativa.</w:t>
      </w:r>
      <w:r w:rsidRPr="00CD3AE0">
        <w:rPr>
          <w:rFonts w:ascii="Arial" w:eastAsia="Times New Roman" w:hAnsi="Arial" w:cs="Arial"/>
          <w:color w:val="333333"/>
          <w:sz w:val="24"/>
          <w:szCs w:val="24"/>
          <w:lang w:eastAsia="it-IT"/>
        </w:rPr>
        <w:br/>
        <w:t>Attraverso un piano di lavoro triennale di alternanza scuola lavoro, è possibile raccordare le competenze specifiche disciplinari e trasversali con quelle richieste dal mondo del lavoro ed includerle nel Piano dell’Offerta Formativa della scuola.</w:t>
      </w:r>
      <w:r w:rsidRPr="00CD3AE0">
        <w:rPr>
          <w:rFonts w:ascii="Arial" w:eastAsia="Times New Roman" w:hAnsi="Arial" w:cs="Arial"/>
          <w:color w:val="333333"/>
          <w:sz w:val="24"/>
          <w:szCs w:val="24"/>
          <w:lang w:eastAsia="it-IT"/>
        </w:rPr>
        <w:br/>
        <w:t>Per garantire l’unitarietà del progetto di alternanza rispetto alla sua attuazione a cura dei singoli Consigli di Classe, è utile che questo piano di lavoro, inserito nel Piano dell’Offerta Formativa, sia redatto a livello Dipartimentale.</w:t>
      </w:r>
      <w:r w:rsidR="002D0E35">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L’alternanza non è dunque un’esperienza isolata collocata in un particolare momento del curriculo ma va programmata in una </w:t>
      </w:r>
      <w:r w:rsidRPr="00CD3AE0">
        <w:rPr>
          <w:rFonts w:ascii="Arial" w:eastAsia="Times New Roman" w:hAnsi="Arial" w:cs="Arial"/>
          <w:b/>
          <w:bCs/>
          <w:color w:val="333333"/>
          <w:sz w:val="24"/>
          <w:szCs w:val="24"/>
          <w:lang w:eastAsia="it-IT"/>
        </w:rPr>
        <w:t>prospettiva pluriennale</w:t>
      </w:r>
      <w:r w:rsidRPr="00CD3AE0">
        <w:rPr>
          <w:rFonts w:ascii="Arial" w:eastAsia="Times New Roman" w:hAnsi="Arial" w:cs="Arial"/>
          <w:color w:val="333333"/>
          <w:sz w:val="24"/>
          <w:szCs w:val="24"/>
          <w:lang w:eastAsia="it-IT"/>
        </w:rPr>
        <w:t xml:space="preserve">. Può prevedere una pluralità di tipologie di integrazione con il mondo del lavoro (incontro con esperti, visite aziendali, ricerca sul campo, simulazione di impresa, </w:t>
      </w:r>
      <w:proofErr w:type="spellStart"/>
      <w:r w:rsidRPr="00CD3AE0">
        <w:rPr>
          <w:rFonts w:ascii="Arial" w:eastAsia="Times New Roman" w:hAnsi="Arial" w:cs="Arial"/>
          <w:color w:val="333333"/>
          <w:sz w:val="24"/>
          <w:szCs w:val="24"/>
          <w:lang w:eastAsia="it-IT"/>
        </w:rPr>
        <w:t>project</w:t>
      </w:r>
      <w:proofErr w:type="spellEnd"/>
      <w:r w:rsidRPr="00CD3AE0">
        <w:rPr>
          <w:rFonts w:ascii="Arial" w:eastAsia="Times New Roman" w:hAnsi="Arial" w:cs="Arial"/>
          <w:color w:val="333333"/>
          <w:sz w:val="24"/>
          <w:szCs w:val="24"/>
          <w:lang w:eastAsia="it-IT"/>
        </w:rPr>
        <w:t xml:space="preserve"> work in e con l’impresa, tirocini, progetti di imprenditorialità ecc.) in contesti organizzativi diversi, anche in filiera o all’estero, in un processo graduale articolato in fasi. I periodi di apprendimento mediante esperienze di lavoro, possono essere svolti anche in momenti diversi da quelli fissati dal calendario delle lezioni, per esempio d’estate, soprattutto nei casi in cui le strutture ospitanti sono caratterizzate da attività stagionali.</w:t>
      </w:r>
      <w:r w:rsidR="002D0E35">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Sulla base del progetto, messo a punto dalla scuola in collaborazione con i soggetti ospitanti, l’inserimento degli studenti nei contesti operativi può essere organizzato, tutto o in parte,</w:t>
      </w:r>
      <w:r w:rsidR="002D0E35">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nell’ambito dell’</w:t>
      </w:r>
      <w:r w:rsidRPr="00CD3AE0">
        <w:rPr>
          <w:rFonts w:ascii="Arial" w:eastAsia="Times New Roman" w:hAnsi="Arial" w:cs="Arial"/>
          <w:b/>
          <w:bCs/>
          <w:color w:val="333333"/>
          <w:sz w:val="24"/>
          <w:szCs w:val="24"/>
          <w:lang w:eastAsia="it-IT"/>
        </w:rPr>
        <w:t>orario annuale dei piani di studio</w:t>
      </w:r>
      <w:r w:rsidRPr="00CD3AE0">
        <w:rPr>
          <w:rFonts w:ascii="Arial" w:eastAsia="Times New Roman" w:hAnsi="Arial" w:cs="Arial"/>
          <w:color w:val="333333"/>
          <w:sz w:val="24"/>
          <w:szCs w:val="24"/>
          <w:lang w:eastAsia="it-IT"/>
        </w:rPr>
        <w:t> oppure nei </w:t>
      </w:r>
      <w:r w:rsidRPr="00CD3AE0">
        <w:rPr>
          <w:rFonts w:ascii="Arial" w:eastAsia="Times New Roman" w:hAnsi="Arial" w:cs="Arial"/>
          <w:b/>
          <w:bCs/>
          <w:color w:val="333333"/>
          <w:sz w:val="24"/>
          <w:szCs w:val="24"/>
          <w:lang w:eastAsia="it-IT"/>
        </w:rPr>
        <w:t>periodi di sospensione delle attività didattiche</w:t>
      </w:r>
      <w:r w:rsidRPr="00CD3AE0">
        <w:rPr>
          <w:rFonts w:ascii="Arial" w:eastAsia="Times New Roman" w:hAnsi="Arial" w:cs="Arial"/>
          <w:color w:val="333333"/>
          <w:sz w:val="24"/>
          <w:szCs w:val="24"/>
          <w:lang w:eastAsia="it-IT"/>
        </w:rPr>
        <w:t> come sviluppo di attività finalizzate al raggiungimento degli obiettivi formativi previsti nel progetto educativo personalizzato.</w:t>
      </w:r>
      <w:r w:rsidR="002D0E35">
        <w:rPr>
          <w:rFonts w:ascii="Arial" w:eastAsia="Times New Roman" w:hAnsi="Arial" w:cs="Arial"/>
          <w:color w:val="333333"/>
          <w:sz w:val="24"/>
          <w:szCs w:val="24"/>
          <w:lang w:eastAsia="it-IT"/>
        </w:rPr>
        <w:t xml:space="preserve"> </w:t>
      </w:r>
      <w:r w:rsidRPr="00CD3AE0">
        <w:rPr>
          <w:rFonts w:ascii="Arial" w:eastAsia="Times New Roman" w:hAnsi="Arial" w:cs="Arial"/>
          <w:color w:val="333333"/>
          <w:sz w:val="24"/>
          <w:szCs w:val="24"/>
          <w:lang w:eastAsia="it-IT"/>
        </w:rPr>
        <w:t>Nell’ambito dell’autonomia negoziale, per lo svolgimento dell’attività legata all’alternanza, ai docenti tutor scolastici potrà essere riconosciuto un </w:t>
      </w:r>
      <w:r w:rsidRPr="00CD3AE0">
        <w:rPr>
          <w:rFonts w:ascii="Arial" w:eastAsia="Times New Roman" w:hAnsi="Arial" w:cs="Arial"/>
          <w:b/>
          <w:bCs/>
          <w:color w:val="333333"/>
          <w:sz w:val="24"/>
          <w:szCs w:val="24"/>
          <w:lang w:eastAsia="it-IT"/>
        </w:rPr>
        <w:t>compenso</w:t>
      </w:r>
      <w:r w:rsidRPr="00CD3AE0">
        <w:rPr>
          <w:rFonts w:ascii="Arial" w:eastAsia="Times New Roman" w:hAnsi="Arial" w:cs="Arial"/>
          <w:color w:val="333333"/>
          <w:sz w:val="24"/>
          <w:szCs w:val="24"/>
          <w:lang w:eastAsia="it-IT"/>
        </w:rPr>
        <w:t> nella misura definita dalla contrattazione di istituto, con risorse a carico del Fondo di istituto e/o delle somme assegnate alla scuola per le attività di alternanza.</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b/>
          <w:bCs/>
          <w:color w:val="333333"/>
          <w:sz w:val="24"/>
          <w:szCs w:val="24"/>
          <w:lang w:eastAsia="it-IT"/>
        </w:rPr>
        <w:t>d. Progettazione del curriculum integrato dell’alunno</w:t>
      </w:r>
      <w:r w:rsidR="002D0E35">
        <w:rPr>
          <w:rFonts w:ascii="Arial" w:eastAsia="Times New Roman" w:hAnsi="Arial" w:cs="Arial"/>
          <w:b/>
          <w:bCs/>
          <w:color w:val="333333"/>
          <w:sz w:val="24"/>
          <w:szCs w:val="24"/>
          <w:lang w:eastAsia="it-IT"/>
        </w:rPr>
        <w:t xml:space="preserve"> </w:t>
      </w:r>
      <w:r w:rsidRPr="00CD3AE0">
        <w:rPr>
          <w:rFonts w:ascii="Arial" w:eastAsia="Times New Roman" w:hAnsi="Arial" w:cs="Arial"/>
          <w:color w:val="333333"/>
          <w:sz w:val="24"/>
          <w:szCs w:val="24"/>
          <w:lang w:eastAsia="it-IT"/>
        </w:rPr>
        <w:t>La progettazione richiede l’uso di strumenti adeguati, come i repertori dei processi di lavoro e delle competenze, le banche dati di imprese e di altre strutture ospitanti, le schede per le diverse tipologie di imprese (descrizione di processi, ruoli, funzioni ecc.) e la dotazione di un chiaro profilo degli studenti, in modo da coordinare gli interventi in funzione delle loro caratteristiche. [...]</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Il dirigente scolastico, al termine di ogni anno scolastico, redige una </w:t>
      </w:r>
      <w:r w:rsidRPr="00CD3AE0">
        <w:rPr>
          <w:rFonts w:ascii="Helvetica" w:eastAsia="Times New Roman" w:hAnsi="Helvetica" w:cs="Times New Roman"/>
          <w:b/>
          <w:bCs/>
          <w:color w:val="333333"/>
          <w:sz w:val="24"/>
          <w:szCs w:val="24"/>
          <w:lang w:eastAsia="it-IT"/>
        </w:rPr>
        <w:t>scheda di valutazione sulle strutture</w:t>
      </w:r>
      <w:r w:rsidRPr="00CD3AE0">
        <w:rPr>
          <w:rFonts w:ascii="Helvetica" w:eastAsia="Times New Roman" w:hAnsi="Helvetica" w:cs="Times New Roman"/>
          <w:color w:val="333333"/>
          <w:sz w:val="24"/>
          <w:szCs w:val="24"/>
          <w:lang w:eastAsia="it-IT"/>
        </w:rPr>
        <w:t xml:space="preserve"> con le quali sono state stipulate convenzioni per percorsi </w:t>
      </w:r>
      <w:r w:rsidRPr="00CD3AE0">
        <w:rPr>
          <w:rFonts w:ascii="Helvetica" w:eastAsia="Times New Roman" w:hAnsi="Helvetica" w:cs="Times New Roman"/>
          <w:color w:val="333333"/>
          <w:sz w:val="24"/>
          <w:szCs w:val="24"/>
          <w:lang w:eastAsia="it-IT"/>
        </w:rPr>
        <w:lastRenderedPageBreak/>
        <w:t>di alternanza, evidenziando la specificità del loro potenziale formativo e le eventuali difficoltà incontrate nella collaborazione. </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La </w:t>
      </w:r>
      <w:r w:rsidRPr="00CD3AE0">
        <w:rPr>
          <w:rFonts w:ascii="Helvetica" w:eastAsia="Times New Roman" w:hAnsi="Helvetica" w:cs="Times New Roman"/>
          <w:b/>
          <w:bCs/>
          <w:color w:val="333333"/>
          <w:sz w:val="24"/>
          <w:szCs w:val="24"/>
          <w:lang w:eastAsia="it-IT"/>
        </w:rPr>
        <w:t>certificazione delle competenze sviluppate</w:t>
      </w:r>
      <w:r w:rsidRPr="00CD3AE0">
        <w:rPr>
          <w:rFonts w:ascii="Helvetica" w:eastAsia="Times New Roman" w:hAnsi="Helvetica" w:cs="Times New Roman"/>
          <w:color w:val="333333"/>
          <w:sz w:val="24"/>
          <w:szCs w:val="24"/>
          <w:lang w:eastAsia="it-IT"/>
        </w:rPr>
        <w:t> attraverso la metodologia dell’alternanza può essere acquisita negli scrutini intermedi e finali degli anni scolastici compresi nel secondo biennio e nell’ultimo anno del corso di studi. In tutti i casi, tale certificazione deve essere acquisita entro la data dello scrutinio di ammissione agli esami di Stato e inserita nel curriculum dello studente. La valutazione di tali competenze concorre alla determinazione del voto di profitto delle discipline coinvolte nell’esperienza di alternanza e, inoltre, del voto di condotta, partecipando all’attribuzione del </w:t>
      </w:r>
      <w:r w:rsidRPr="00CD3AE0">
        <w:rPr>
          <w:rFonts w:ascii="Helvetica" w:eastAsia="Times New Roman" w:hAnsi="Helvetica" w:cs="Times New Roman"/>
          <w:b/>
          <w:bCs/>
          <w:color w:val="333333"/>
          <w:sz w:val="24"/>
          <w:szCs w:val="24"/>
          <w:lang w:eastAsia="it-IT"/>
        </w:rPr>
        <w:t>credito scolastico</w:t>
      </w:r>
      <w:r w:rsidRPr="00CD3AE0">
        <w:rPr>
          <w:rFonts w:ascii="Helvetica" w:eastAsia="Times New Roman" w:hAnsi="Helvetica" w:cs="Times New Roman"/>
          <w:color w:val="333333"/>
          <w:sz w:val="24"/>
          <w:szCs w:val="24"/>
          <w:lang w:eastAsia="it-IT"/>
        </w:rPr>
        <w:t>.</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In esito ai risultati degli </w:t>
      </w:r>
      <w:r w:rsidRPr="00CD3AE0">
        <w:rPr>
          <w:rFonts w:ascii="Helvetica" w:eastAsia="Times New Roman" w:hAnsi="Helvetica" w:cs="Times New Roman"/>
          <w:b/>
          <w:bCs/>
          <w:color w:val="333333"/>
          <w:sz w:val="24"/>
          <w:szCs w:val="24"/>
          <w:lang w:eastAsia="it-IT"/>
        </w:rPr>
        <w:t>esami di Stato</w:t>
      </w:r>
      <w:r w:rsidRPr="00CD3AE0">
        <w:rPr>
          <w:rFonts w:ascii="Helvetica" w:eastAsia="Times New Roman" w:hAnsi="Helvetica" w:cs="Times New Roman"/>
          <w:color w:val="333333"/>
          <w:sz w:val="24"/>
          <w:szCs w:val="24"/>
          <w:lang w:eastAsia="it-IT"/>
        </w:rPr>
        <w:t xml:space="preserve">, a conclusione del percorso triennale di alternanza, l’istituzione scolastica attesta le competenze acquisite dallo studente, all’interno del certificato rilasciato ai sensi </w:t>
      </w:r>
      <w:r w:rsidR="00844E6B">
        <w:rPr>
          <w:rFonts w:ascii="Helvetica" w:eastAsia="Times New Roman" w:hAnsi="Helvetica" w:cs="Times New Roman"/>
          <w:color w:val="333333"/>
          <w:sz w:val="24"/>
          <w:szCs w:val="24"/>
          <w:lang w:eastAsia="it-IT"/>
        </w:rPr>
        <w:t>dell’articolo 11 del D</w:t>
      </w:r>
      <w:r w:rsidRPr="00CD3AE0">
        <w:rPr>
          <w:rFonts w:ascii="Helvetica" w:eastAsia="Times New Roman" w:hAnsi="Helvetica" w:cs="Times New Roman"/>
          <w:color w:val="333333"/>
          <w:sz w:val="24"/>
          <w:szCs w:val="24"/>
          <w:lang w:eastAsia="it-IT"/>
        </w:rPr>
        <w:t>.P.R. 89 del 2010 per i licei. All’uopo, può ricorrere al</w:t>
      </w:r>
      <w:r w:rsidR="002D0E35">
        <w:rPr>
          <w:rFonts w:ascii="Helvetica" w:eastAsia="Times New Roman" w:hAnsi="Helvetica" w:cs="Times New Roman"/>
          <w:color w:val="333333"/>
          <w:sz w:val="24"/>
          <w:szCs w:val="24"/>
          <w:lang w:eastAsia="it-IT"/>
        </w:rPr>
        <w:t xml:space="preserve"> </w:t>
      </w:r>
      <w:r w:rsidRPr="00CD3AE0">
        <w:rPr>
          <w:rFonts w:ascii="Helvetica" w:eastAsia="Times New Roman" w:hAnsi="Helvetica" w:cs="Times New Roman"/>
          <w:b/>
          <w:bCs/>
          <w:color w:val="333333"/>
          <w:sz w:val="24"/>
          <w:szCs w:val="24"/>
          <w:lang w:eastAsia="it-IT"/>
        </w:rPr>
        <w:t>modello allegato all’Ordinanza</w:t>
      </w:r>
      <w:r w:rsidRPr="00CD3AE0">
        <w:rPr>
          <w:rFonts w:ascii="Helvetica" w:eastAsia="Times New Roman" w:hAnsi="Helvetica" w:cs="Times New Roman"/>
          <w:color w:val="333333"/>
          <w:sz w:val="24"/>
          <w:szCs w:val="24"/>
          <w:lang w:eastAsia="it-IT"/>
        </w:rPr>
        <w:t> annuale sugli esami di Stato, indicando le competenze acquisite in alternanza.</w:t>
      </w:r>
      <w:bookmarkStart w:id="0" w:name="_GoBack"/>
      <w:bookmarkEnd w:id="0"/>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b/>
          <w:bCs/>
          <w:color w:val="333333"/>
          <w:sz w:val="24"/>
          <w:szCs w:val="24"/>
          <w:lang w:eastAsia="it-IT"/>
        </w:rPr>
        <w:t>Organizzazione dei percorsi di alternanza scuola lavoro</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Ai sensi dell’articolo 4 del d.lgs. 77/2005, “</w:t>
      </w:r>
      <w:r w:rsidRPr="00CD3AE0">
        <w:rPr>
          <w:rFonts w:ascii="Arial" w:eastAsia="Times New Roman" w:hAnsi="Arial" w:cs="Arial"/>
          <w:i/>
          <w:iCs/>
          <w:color w:val="333333"/>
          <w:sz w:val="24"/>
          <w:szCs w:val="24"/>
          <w:lang w:eastAsia="it-IT"/>
        </w:rPr>
        <w:t>i percorsi in alternanza sono dotati di una struttura flessibile e si articolano in periodi di formazione in aula e in periodi di apprendimento mediante esperienze di lavoro, che le istituzioni scolastiche e formative progettano e attuano sulla base delle convenzioni</w:t>
      </w:r>
      <w:r w:rsidRPr="00CD3AE0">
        <w:rPr>
          <w:rFonts w:ascii="Arial" w:eastAsia="Times New Roman" w:hAnsi="Arial" w:cs="Arial"/>
          <w:color w:val="333333"/>
          <w:sz w:val="24"/>
          <w:szCs w:val="24"/>
          <w:lang w:eastAsia="it-IT"/>
        </w:rPr>
        <w:t>” allo scopo stipulate.</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I periodi di apprendimento mediante esperienze di lavoro sono svolti presso soggetti esterni alle istituzioni scolastiche e formative, con i quali sono co-progettati, attuati, verificati e valutati sotto la responsabilità di ogni singola istituzione scolastica o formativa.</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Ai sensi dell’articolo 1, comma 2, del d.lgs. 77/2005, l’attuazione dei percorsi avviene sulla base di apposite </w:t>
      </w:r>
      <w:r w:rsidRPr="00CD3AE0">
        <w:rPr>
          <w:rFonts w:ascii="Arial" w:eastAsia="Times New Roman" w:hAnsi="Arial" w:cs="Arial"/>
          <w:b/>
          <w:bCs/>
          <w:color w:val="333333"/>
          <w:sz w:val="24"/>
          <w:szCs w:val="24"/>
          <w:lang w:eastAsia="it-IT"/>
        </w:rPr>
        <w:t>convenzioni</w:t>
      </w:r>
      <w:r w:rsidRPr="00CD3AE0">
        <w:rPr>
          <w:rFonts w:ascii="Arial" w:eastAsia="Times New Roman" w:hAnsi="Arial" w:cs="Arial"/>
          <w:color w:val="333333"/>
          <w:sz w:val="24"/>
          <w:szCs w:val="24"/>
          <w:lang w:eastAsia="it-IT"/>
        </w:rPr>
        <w:t>, attivate con una platea di soggetti (c.d. strutture ospitanti), la cui tipologia è stata notevolmente allargata dall’articolo 1, comma 34 della legge 107/2015 e attualmente possono essere rappresentati da:</w:t>
      </w:r>
    </w:p>
    <w:p w:rsidR="00CD3AE0" w:rsidRPr="00CD3AE0" w:rsidRDefault="00CD3AE0" w:rsidP="00CD3AE0">
      <w:pPr>
        <w:numPr>
          <w:ilvl w:val="0"/>
          <w:numId w:val="3"/>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Imprese e rispettive associazioni di rappresentanza;</w:t>
      </w:r>
    </w:p>
    <w:p w:rsidR="00CD3AE0" w:rsidRPr="00CD3AE0" w:rsidRDefault="00CD3AE0" w:rsidP="00CD3AE0">
      <w:pPr>
        <w:numPr>
          <w:ilvl w:val="0"/>
          <w:numId w:val="3"/>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Camere di commercio, industria, artigianato e agricoltura;</w:t>
      </w:r>
    </w:p>
    <w:p w:rsidR="00CD3AE0" w:rsidRPr="00CD3AE0" w:rsidRDefault="00CD3AE0" w:rsidP="00CD3AE0">
      <w:pPr>
        <w:numPr>
          <w:ilvl w:val="0"/>
          <w:numId w:val="3"/>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Enti pubblici e privati, ivi inclusi quelli del terzo settore;</w:t>
      </w:r>
    </w:p>
    <w:p w:rsidR="00CD3AE0" w:rsidRPr="00CD3AE0" w:rsidRDefault="00CD3AE0" w:rsidP="00CD3AE0">
      <w:pPr>
        <w:numPr>
          <w:ilvl w:val="0"/>
          <w:numId w:val="3"/>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Ordini professionali;</w:t>
      </w:r>
    </w:p>
    <w:p w:rsidR="00CD3AE0" w:rsidRPr="00CD3AE0" w:rsidRDefault="00CD3AE0" w:rsidP="00CD3AE0">
      <w:pPr>
        <w:numPr>
          <w:ilvl w:val="0"/>
          <w:numId w:val="3"/>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Musei e altri istituti pubblici e privati operanti nei settori del patrimonio e delle attività culturali, artistiche e musicali;</w:t>
      </w:r>
    </w:p>
    <w:p w:rsidR="00CD3AE0" w:rsidRPr="00CD3AE0" w:rsidRDefault="00CD3AE0" w:rsidP="00CD3AE0">
      <w:pPr>
        <w:numPr>
          <w:ilvl w:val="0"/>
          <w:numId w:val="3"/>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Enti che svolgono attività afferenti al patrimonio ambientale;</w:t>
      </w:r>
    </w:p>
    <w:p w:rsidR="00CD3AE0" w:rsidRPr="00CD3AE0" w:rsidRDefault="00CD3AE0" w:rsidP="00CD3AE0">
      <w:pPr>
        <w:numPr>
          <w:ilvl w:val="0"/>
          <w:numId w:val="3"/>
        </w:numPr>
        <w:shd w:val="clear" w:color="auto" w:fill="FFFFFF"/>
        <w:spacing w:before="100" w:beforeAutospacing="1" w:after="100" w:afterAutospacing="1" w:line="270" w:lineRule="atLeast"/>
        <w:ind w:left="375"/>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Enti di promozione sportiva riconosciuti dal CONI. </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lastRenderedPageBreak/>
        <w:t>Tali soggetti manifestano la loro disponibilità ad accogliere gli studenti, per periodi di apprendimento in situazione lavorativa, che non costituiscono rapporto individuale di lavoro.</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Le attività di alternanza possono, inoltre, configurarsi con la modalità dell’impresa formativa simulata, di cui si tratterà diffusamente al paragrafo 9 della presente Guida operativa.</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I periodi di apprendimento mediante esperienze di lavoro sono articolati secondo criteri di gradualità e progressività che rispettino lo sviluppo personale, culturale e professionale degli allievi in relazione alla loro età e sono dimensionati tenendo conto degli obiettivi formativi dei diversi percorsi di studio, nonché sulla base delle capacità di accoglienza dei suddetti soggetti.</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Nell'ambito del programma formativo e delle modalità di verifica ivi stabilite, come si è detto, i periodi di apprendimento mediante esperienze di lavoro possono essere svolti durante la sospensione delle attività didattiche e possono comprendere anche attività da realizzare all’estero.</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I periodi di alternanza sono dimensionati, per i soggetti disabili, in modo da promuoverne l'autonomia anche ai fini dell'inserimento nel mondo del lavoro.</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Helvetica" w:eastAsia="Times New Roman" w:hAnsi="Helvetica" w:cs="Times New Roman"/>
          <w:color w:val="333333"/>
          <w:sz w:val="24"/>
          <w:szCs w:val="24"/>
          <w:lang w:eastAsia="it-IT"/>
        </w:rPr>
        <w:t>I percorsi in alternanza, che, come si è già avuto modo di illustrare, per l’anno scolastico 2015/2016 sono definiti e programmati all'interno del Piano dell'Offerta Formativa di ciascuna scuola e sono proposti alle famiglie e agli studenti in tempi e con modalità idonei a garantirne la piena fruizione, dall’anno scolastico 2016/2017 rientrano nell’alveo del </w:t>
      </w:r>
      <w:r w:rsidRPr="00CD3AE0">
        <w:rPr>
          <w:rFonts w:ascii="Helvetica" w:eastAsia="Times New Roman" w:hAnsi="Helvetica" w:cs="Times New Roman"/>
          <w:b/>
          <w:bCs/>
          <w:color w:val="333333"/>
          <w:sz w:val="24"/>
          <w:szCs w:val="24"/>
          <w:lang w:eastAsia="it-IT"/>
        </w:rPr>
        <w:t>Piano Triennale dell’Offerta Formativa</w:t>
      </w:r>
      <w:r w:rsidRPr="00CD3AE0">
        <w:rPr>
          <w:rFonts w:ascii="Helvetica" w:eastAsia="Times New Roman" w:hAnsi="Helvetica" w:cs="Times New Roman"/>
          <w:color w:val="333333"/>
          <w:sz w:val="24"/>
          <w:szCs w:val="24"/>
          <w:lang w:eastAsia="it-IT"/>
        </w:rPr>
        <w:t>, introdotto dall’articolo 1, comma 2 e seguenti della legge 107/2015. Essi sono volti alla realizzazione del profilo educativo, culturale e professionale del corso di studi e degli obiettivi generali e specifici di apprendimento stabiliti a livello nazionale e regionale.</w:t>
      </w:r>
    </w:p>
    <w:p w:rsidR="002D0E35" w:rsidRDefault="00CD3AE0" w:rsidP="00CD3AE0">
      <w:pPr>
        <w:shd w:val="clear" w:color="auto" w:fill="FFFFFF"/>
        <w:spacing w:after="135" w:line="315" w:lineRule="atLeast"/>
        <w:jc w:val="both"/>
        <w:rPr>
          <w:rFonts w:ascii="Arial" w:eastAsia="Times New Roman" w:hAnsi="Arial" w:cs="Arial"/>
          <w:b/>
          <w:bCs/>
          <w:color w:val="333333"/>
          <w:sz w:val="24"/>
          <w:szCs w:val="24"/>
          <w:lang w:eastAsia="it-IT"/>
        </w:rPr>
      </w:pPr>
      <w:r w:rsidRPr="00CD3AE0">
        <w:rPr>
          <w:rFonts w:ascii="Arial" w:eastAsia="Times New Roman" w:hAnsi="Arial" w:cs="Arial"/>
          <w:b/>
          <w:bCs/>
          <w:color w:val="333333"/>
          <w:sz w:val="24"/>
          <w:szCs w:val="24"/>
          <w:lang w:eastAsia="it-IT"/>
        </w:rPr>
        <w:t>Impresa formativa simulata</w:t>
      </w:r>
      <w:r w:rsidR="002D0E35">
        <w:rPr>
          <w:rFonts w:ascii="Arial" w:eastAsia="Times New Roman" w:hAnsi="Arial" w:cs="Arial"/>
          <w:b/>
          <w:bCs/>
          <w:color w:val="333333"/>
          <w:sz w:val="24"/>
          <w:szCs w:val="24"/>
          <w:lang w:eastAsia="it-IT"/>
        </w:rPr>
        <w:t xml:space="preserve"> </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È una delle modalità di realizzazione dell’alternanza scuola lavoro, attuata mediante la costituzione di un’</w:t>
      </w:r>
      <w:r w:rsidRPr="00CD3AE0">
        <w:rPr>
          <w:rFonts w:ascii="Arial" w:eastAsia="Times New Roman" w:hAnsi="Arial" w:cs="Arial"/>
          <w:b/>
          <w:bCs/>
          <w:color w:val="333333"/>
          <w:sz w:val="24"/>
          <w:szCs w:val="24"/>
          <w:lang w:eastAsia="it-IT"/>
        </w:rPr>
        <w:t>azienda virtuale animata dagli studenti</w:t>
      </w:r>
      <w:r w:rsidRPr="00CD3AE0">
        <w:rPr>
          <w:rFonts w:ascii="Arial" w:eastAsia="Times New Roman" w:hAnsi="Arial" w:cs="Arial"/>
          <w:color w:val="333333"/>
          <w:sz w:val="24"/>
          <w:szCs w:val="24"/>
          <w:lang w:eastAsia="it-IT"/>
        </w:rPr>
        <w:t>, che svolge un’</w:t>
      </w:r>
      <w:r w:rsidRPr="00CD3AE0">
        <w:rPr>
          <w:rFonts w:ascii="Arial" w:eastAsia="Times New Roman" w:hAnsi="Arial" w:cs="Arial"/>
          <w:b/>
          <w:bCs/>
          <w:color w:val="333333"/>
          <w:sz w:val="24"/>
          <w:szCs w:val="24"/>
          <w:lang w:eastAsia="it-IT"/>
        </w:rPr>
        <w:t>attività di mercato in rete</w:t>
      </w:r>
      <w:r w:rsidRPr="00CD3AE0">
        <w:rPr>
          <w:rFonts w:ascii="Arial" w:eastAsia="Times New Roman" w:hAnsi="Arial" w:cs="Arial"/>
          <w:color w:val="333333"/>
          <w:sz w:val="24"/>
          <w:szCs w:val="24"/>
          <w:lang w:eastAsia="it-IT"/>
        </w:rPr>
        <w:t>(</w:t>
      </w:r>
      <w:proofErr w:type="spellStart"/>
      <w:r w:rsidRPr="00CD3AE0">
        <w:rPr>
          <w:rFonts w:ascii="Arial" w:eastAsia="Times New Roman" w:hAnsi="Arial" w:cs="Arial"/>
          <w:color w:val="333333"/>
          <w:sz w:val="24"/>
          <w:szCs w:val="24"/>
          <w:lang w:eastAsia="it-IT"/>
        </w:rPr>
        <w:t>ecommerce</w:t>
      </w:r>
      <w:proofErr w:type="spellEnd"/>
      <w:r w:rsidRPr="00CD3AE0">
        <w:rPr>
          <w:rFonts w:ascii="Arial" w:eastAsia="Times New Roman" w:hAnsi="Arial" w:cs="Arial"/>
          <w:color w:val="333333"/>
          <w:sz w:val="24"/>
          <w:szCs w:val="24"/>
          <w:lang w:eastAsia="it-IT"/>
        </w:rPr>
        <w:t>) e fa riferimento ad un’</w:t>
      </w:r>
      <w:r w:rsidRPr="00CD3AE0">
        <w:rPr>
          <w:rFonts w:ascii="Arial" w:eastAsia="Times New Roman" w:hAnsi="Arial" w:cs="Arial"/>
          <w:b/>
          <w:bCs/>
          <w:color w:val="333333"/>
          <w:sz w:val="24"/>
          <w:szCs w:val="24"/>
          <w:lang w:eastAsia="it-IT"/>
        </w:rPr>
        <w:t>azienda reale</w:t>
      </w:r>
      <w:r w:rsidRPr="00CD3AE0">
        <w:rPr>
          <w:rFonts w:ascii="Arial" w:eastAsia="Times New Roman" w:hAnsi="Arial" w:cs="Arial"/>
          <w:color w:val="333333"/>
          <w:sz w:val="24"/>
          <w:szCs w:val="24"/>
          <w:lang w:eastAsia="it-IT"/>
        </w:rPr>
        <w:t> (azienda tutor o madrina) che costituisce il modello di riferimento da emulare in ogni fase o ciclo di vita aziendale.</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t>Si avvale di una metodologia didattica che utilizza in modo naturale il </w:t>
      </w:r>
      <w:proofErr w:type="spellStart"/>
      <w:r w:rsidRPr="00CD3AE0">
        <w:rPr>
          <w:rFonts w:ascii="Arial" w:eastAsia="Times New Roman" w:hAnsi="Arial" w:cs="Arial"/>
          <w:i/>
          <w:iCs/>
          <w:color w:val="333333"/>
          <w:sz w:val="24"/>
          <w:szCs w:val="24"/>
          <w:lang w:eastAsia="it-IT"/>
        </w:rPr>
        <w:t>problem</w:t>
      </w:r>
      <w:proofErr w:type="spellEnd"/>
      <w:r w:rsidRPr="00CD3AE0">
        <w:rPr>
          <w:rFonts w:ascii="Arial" w:eastAsia="Times New Roman" w:hAnsi="Arial" w:cs="Arial"/>
          <w:i/>
          <w:iCs/>
          <w:color w:val="333333"/>
          <w:sz w:val="24"/>
          <w:szCs w:val="24"/>
          <w:lang w:eastAsia="it-IT"/>
        </w:rPr>
        <w:t xml:space="preserve"> </w:t>
      </w:r>
      <w:proofErr w:type="spellStart"/>
      <w:r w:rsidRPr="00CD3AE0">
        <w:rPr>
          <w:rFonts w:ascii="Arial" w:eastAsia="Times New Roman" w:hAnsi="Arial" w:cs="Arial"/>
          <w:i/>
          <w:iCs/>
          <w:color w:val="333333"/>
          <w:sz w:val="24"/>
          <w:szCs w:val="24"/>
          <w:lang w:eastAsia="it-IT"/>
        </w:rPr>
        <w:t>solving</w:t>
      </w:r>
      <w:proofErr w:type="spellEnd"/>
      <w:r w:rsidRPr="00CD3AE0">
        <w:rPr>
          <w:rFonts w:ascii="Arial" w:eastAsia="Times New Roman" w:hAnsi="Arial" w:cs="Arial"/>
          <w:i/>
          <w:iCs/>
          <w:color w:val="333333"/>
          <w:sz w:val="24"/>
          <w:szCs w:val="24"/>
          <w:lang w:eastAsia="it-IT"/>
        </w:rPr>
        <w:t xml:space="preserve">, il </w:t>
      </w:r>
      <w:proofErr w:type="spellStart"/>
      <w:r w:rsidRPr="00CD3AE0">
        <w:rPr>
          <w:rFonts w:ascii="Arial" w:eastAsia="Times New Roman" w:hAnsi="Arial" w:cs="Arial"/>
          <w:i/>
          <w:iCs/>
          <w:color w:val="333333"/>
          <w:sz w:val="24"/>
          <w:szCs w:val="24"/>
          <w:lang w:eastAsia="it-IT"/>
        </w:rPr>
        <w:t>learning</w:t>
      </w:r>
      <w:proofErr w:type="spellEnd"/>
      <w:r w:rsidRPr="00CD3AE0">
        <w:rPr>
          <w:rFonts w:ascii="Arial" w:eastAsia="Times New Roman" w:hAnsi="Arial" w:cs="Arial"/>
          <w:i/>
          <w:iCs/>
          <w:color w:val="333333"/>
          <w:sz w:val="24"/>
          <w:szCs w:val="24"/>
          <w:lang w:eastAsia="it-IT"/>
        </w:rPr>
        <w:t xml:space="preserve"> by </w:t>
      </w:r>
      <w:proofErr w:type="spellStart"/>
      <w:r w:rsidRPr="00CD3AE0">
        <w:rPr>
          <w:rFonts w:ascii="Arial" w:eastAsia="Times New Roman" w:hAnsi="Arial" w:cs="Arial"/>
          <w:i/>
          <w:iCs/>
          <w:color w:val="333333"/>
          <w:sz w:val="24"/>
          <w:szCs w:val="24"/>
          <w:lang w:eastAsia="it-IT"/>
        </w:rPr>
        <w:t>doing</w:t>
      </w:r>
      <w:proofErr w:type="spellEnd"/>
      <w:r w:rsidRPr="00CD3AE0">
        <w:rPr>
          <w:rFonts w:ascii="Arial" w:eastAsia="Times New Roman" w:hAnsi="Arial" w:cs="Arial"/>
          <w:i/>
          <w:iCs/>
          <w:color w:val="333333"/>
          <w:sz w:val="24"/>
          <w:szCs w:val="24"/>
          <w:lang w:eastAsia="it-IT"/>
        </w:rPr>
        <w:t xml:space="preserve">, il cooperative </w:t>
      </w:r>
      <w:proofErr w:type="spellStart"/>
      <w:r w:rsidRPr="00CD3AE0">
        <w:rPr>
          <w:rFonts w:ascii="Arial" w:eastAsia="Times New Roman" w:hAnsi="Arial" w:cs="Arial"/>
          <w:i/>
          <w:iCs/>
          <w:color w:val="333333"/>
          <w:sz w:val="24"/>
          <w:szCs w:val="24"/>
          <w:lang w:eastAsia="it-IT"/>
        </w:rPr>
        <w:t>learning</w:t>
      </w:r>
      <w:proofErr w:type="spellEnd"/>
      <w:r w:rsidRPr="00CD3AE0">
        <w:rPr>
          <w:rFonts w:ascii="Arial" w:eastAsia="Times New Roman" w:hAnsi="Arial" w:cs="Arial"/>
          <w:i/>
          <w:iCs/>
          <w:color w:val="333333"/>
          <w:sz w:val="24"/>
          <w:szCs w:val="24"/>
          <w:lang w:eastAsia="it-IT"/>
        </w:rPr>
        <w:t xml:space="preserve"> ed il </w:t>
      </w:r>
      <w:proofErr w:type="spellStart"/>
      <w:r w:rsidRPr="00CD3AE0">
        <w:rPr>
          <w:rFonts w:ascii="Arial" w:eastAsia="Times New Roman" w:hAnsi="Arial" w:cs="Arial"/>
          <w:i/>
          <w:iCs/>
          <w:color w:val="333333"/>
          <w:sz w:val="24"/>
          <w:szCs w:val="24"/>
          <w:lang w:eastAsia="it-IT"/>
        </w:rPr>
        <w:t>role</w:t>
      </w:r>
      <w:proofErr w:type="spellEnd"/>
      <w:r w:rsidRPr="00CD3AE0">
        <w:rPr>
          <w:rFonts w:ascii="Arial" w:eastAsia="Times New Roman" w:hAnsi="Arial" w:cs="Arial"/>
          <w:i/>
          <w:iCs/>
          <w:color w:val="333333"/>
          <w:sz w:val="24"/>
          <w:szCs w:val="24"/>
          <w:lang w:eastAsia="it-IT"/>
        </w:rPr>
        <w:t xml:space="preserve"> </w:t>
      </w:r>
      <w:proofErr w:type="spellStart"/>
      <w:r w:rsidRPr="00CD3AE0">
        <w:rPr>
          <w:rFonts w:ascii="Arial" w:eastAsia="Times New Roman" w:hAnsi="Arial" w:cs="Arial"/>
          <w:i/>
          <w:iCs/>
          <w:color w:val="333333"/>
          <w:sz w:val="24"/>
          <w:szCs w:val="24"/>
          <w:lang w:eastAsia="it-IT"/>
        </w:rPr>
        <w:t>playing</w:t>
      </w:r>
      <w:proofErr w:type="spellEnd"/>
      <w:r w:rsidRPr="00CD3AE0">
        <w:rPr>
          <w:rFonts w:ascii="Arial" w:eastAsia="Times New Roman" w:hAnsi="Arial" w:cs="Arial"/>
          <w:color w:val="333333"/>
          <w:sz w:val="24"/>
          <w:szCs w:val="24"/>
          <w:lang w:eastAsia="it-IT"/>
        </w:rPr>
        <w:t>, costituendo un valido strumento per l’acquisizione di competenze spendibili nel mercato del lavoro. Con essa si tende a riprodurre un ambiente simulato che consenta all’allievo di apprendere nuove competenze sotto il profilo operativo, rafforzando quelle conoscenze e competenze apprese nel corso degli studi.</w:t>
      </w:r>
    </w:p>
    <w:p w:rsidR="00CD3AE0" w:rsidRPr="00CD3AE0" w:rsidRDefault="00CD3AE0" w:rsidP="00CD3AE0">
      <w:pPr>
        <w:shd w:val="clear" w:color="auto" w:fill="FFFFFF"/>
        <w:spacing w:after="135" w:line="315" w:lineRule="atLeast"/>
        <w:jc w:val="both"/>
        <w:rPr>
          <w:rFonts w:ascii="Helvetica" w:eastAsia="Times New Roman" w:hAnsi="Helvetica" w:cs="Times New Roman"/>
          <w:color w:val="333333"/>
          <w:sz w:val="20"/>
          <w:szCs w:val="20"/>
          <w:lang w:eastAsia="it-IT"/>
        </w:rPr>
      </w:pPr>
      <w:r w:rsidRPr="00CD3AE0">
        <w:rPr>
          <w:rFonts w:ascii="Arial" w:eastAsia="Times New Roman" w:hAnsi="Arial" w:cs="Arial"/>
          <w:color w:val="333333"/>
          <w:sz w:val="24"/>
          <w:szCs w:val="24"/>
          <w:lang w:eastAsia="it-IT"/>
        </w:rPr>
        <w:lastRenderedPageBreak/>
        <w:t>Gli studenti, con l’impresa formativa simulata, assumono le sembianze di giovani imprenditori e riproducono in laboratorio il modello lavorativo di un’azienda vera, apprendendo i principi di gestione attraverso il fare (</w:t>
      </w:r>
      <w:proofErr w:type="spellStart"/>
      <w:r w:rsidRPr="00CD3AE0">
        <w:rPr>
          <w:rFonts w:ascii="Arial" w:eastAsia="Times New Roman" w:hAnsi="Arial" w:cs="Arial"/>
          <w:i/>
          <w:iCs/>
          <w:color w:val="333333"/>
          <w:sz w:val="24"/>
          <w:szCs w:val="24"/>
          <w:lang w:eastAsia="it-IT"/>
        </w:rPr>
        <w:t>action-oriented</w:t>
      </w:r>
      <w:proofErr w:type="spellEnd"/>
      <w:r w:rsidRPr="00CD3AE0">
        <w:rPr>
          <w:rFonts w:ascii="Arial" w:eastAsia="Times New Roman" w:hAnsi="Arial" w:cs="Arial"/>
          <w:i/>
          <w:iCs/>
          <w:color w:val="333333"/>
          <w:sz w:val="24"/>
          <w:szCs w:val="24"/>
          <w:lang w:eastAsia="it-IT"/>
        </w:rPr>
        <w:t xml:space="preserve"> </w:t>
      </w:r>
      <w:proofErr w:type="spellStart"/>
      <w:r w:rsidRPr="00CD3AE0">
        <w:rPr>
          <w:rFonts w:ascii="Arial" w:eastAsia="Times New Roman" w:hAnsi="Arial" w:cs="Arial"/>
          <w:i/>
          <w:iCs/>
          <w:color w:val="333333"/>
          <w:sz w:val="24"/>
          <w:szCs w:val="24"/>
          <w:lang w:eastAsia="it-IT"/>
        </w:rPr>
        <w:t>learning</w:t>
      </w:r>
      <w:proofErr w:type="spellEnd"/>
      <w:r w:rsidRPr="00CD3AE0">
        <w:rPr>
          <w:rFonts w:ascii="Arial" w:eastAsia="Times New Roman" w:hAnsi="Arial" w:cs="Arial"/>
          <w:color w:val="333333"/>
          <w:sz w:val="24"/>
          <w:szCs w:val="24"/>
          <w:lang w:eastAsia="it-IT"/>
        </w:rPr>
        <w:t>). </w:t>
      </w:r>
    </w:p>
    <w:p w:rsidR="00D0364D" w:rsidRDefault="00D0364D"/>
    <w:sectPr w:rsidR="00D0364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E6B" w:rsidRDefault="00844E6B" w:rsidP="00844E6B">
      <w:pPr>
        <w:spacing w:after="0" w:line="240" w:lineRule="auto"/>
      </w:pPr>
      <w:r>
        <w:separator/>
      </w:r>
    </w:p>
  </w:endnote>
  <w:endnote w:type="continuationSeparator" w:id="0">
    <w:p w:rsidR="00844E6B" w:rsidRDefault="00844E6B" w:rsidP="00844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Latin725 B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E6B" w:rsidRDefault="00844E6B" w:rsidP="00844E6B">
      <w:pPr>
        <w:spacing w:after="0" w:line="240" w:lineRule="auto"/>
      </w:pPr>
      <w:r>
        <w:separator/>
      </w:r>
    </w:p>
  </w:footnote>
  <w:footnote w:type="continuationSeparator" w:id="0">
    <w:p w:rsidR="00844E6B" w:rsidRDefault="00844E6B" w:rsidP="00844E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E6B" w:rsidRDefault="00844E6B" w:rsidP="00844E6B">
    <w:pPr>
      <w:pStyle w:val="Intestazione"/>
      <w:rPr>
        <w:rFonts w:ascii="Latin725 BT" w:hAnsi="Latin725 BT"/>
        <w:sz w:val="44"/>
      </w:rPr>
    </w:pPr>
    <w:r>
      <w:rPr>
        <w:noProof/>
        <w:lang w:eastAsia="it-IT"/>
      </w:rPr>
      <w:drawing>
        <wp:anchor distT="0" distB="0" distL="114300" distR="114300" simplePos="0" relativeHeight="251659264" behindDoc="0" locked="0" layoutInCell="1" allowOverlap="1">
          <wp:simplePos x="0" y="0"/>
          <wp:positionH relativeFrom="column">
            <wp:posOffset>2590800</wp:posOffset>
          </wp:positionH>
          <wp:positionV relativeFrom="paragraph">
            <wp:posOffset>-182880</wp:posOffset>
          </wp:positionV>
          <wp:extent cx="628650" cy="64770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47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60288" behindDoc="0" locked="0" layoutInCell="1" allowOverlap="1">
          <wp:simplePos x="0" y="0"/>
          <wp:positionH relativeFrom="column">
            <wp:posOffset>5562600</wp:posOffset>
          </wp:positionH>
          <wp:positionV relativeFrom="paragraph">
            <wp:posOffset>-430530</wp:posOffset>
          </wp:positionV>
          <wp:extent cx="714375" cy="885825"/>
          <wp:effectExtent l="0" t="0" r="9525" b="952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885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61312" behindDoc="0" locked="0" layoutInCell="1" allowOverlap="1">
          <wp:simplePos x="0" y="0"/>
          <wp:positionH relativeFrom="column">
            <wp:posOffset>-400050</wp:posOffset>
          </wp:positionH>
          <wp:positionV relativeFrom="paragraph">
            <wp:posOffset>-135255</wp:posOffset>
          </wp:positionV>
          <wp:extent cx="600075" cy="396875"/>
          <wp:effectExtent l="0" t="0" r="9525" b="317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0075" cy="396875"/>
                  </a:xfrm>
                  <a:prstGeom prst="rect">
                    <a:avLst/>
                  </a:prstGeom>
                  <a:noFill/>
                </pic:spPr>
              </pic:pic>
            </a:graphicData>
          </a:graphic>
          <wp14:sizeRelH relativeFrom="page">
            <wp14:pctWidth>0</wp14:pctWidth>
          </wp14:sizeRelH>
          <wp14:sizeRelV relativeFrom="page">
            <wp14:pctHeight>0</wp14:pctHeight>
          </wp14:sizeRelV>
        </wp:anchor>
      </w:drawing>
    </w:r>
    <w:r>
      <w:rPr>
        <w:rFonts w:ascii="Latin725 BT" w:hAnsi="Latin725 BT"/>
        <w:sz w:val="52"/>
      </w:rPr>
      <w:t xml:space="preserve">               </w:t>
    </w:r>
    <w:r>
      <w:rPr>
        <w:rFonts w:ascii="Latin725 BT" w:hAnsi="Latin725 BT"/>
        <w:sz w:val="44"/>
      </w:rPr>
      <w:t xml:space="preserve">  </w:t>
    </w:r>
  </w:p>
  <w:p w:rsidR="00844E6B" w:rsidRDefault="00844E6B" w:rsidP="00844E6B">
    <w:pPr>
      <w:pStyle w:val="Intestazione"/>
      <w:jc w:val="center"/>
      <w:rPr>
        <w:rFonts w:ascii="Latin725 BT" w:hAnsi="Latin725 BT"/>
        <w:b/>
        <w:sz w:val="24"/>
        <w:szCs w:val="24"/>
      </w:rPr>
    </w:pPr>
    <w:r>
      <w:rPr>
        <w:rFonts w:ascii="Latin725 BT" w:hAnsi="Latin725 BT"/>
        <w:b/>
        <w:sz w:val="24"/>
        <w:szCs w:val="24"/>
      </w:rPr>
      <w:t xml:space="preserve">               </w:t>
    </w:r>
  </w:p>
  <w:p w:rsidR="00844E6B" w:rsidRDefault="00844E6B" w:rsidP="00844E6B">
    <w:pPr>
      <w:pStyle w:val="Intestazione"/>
      <w:jc w:val="center"/>
      <w:rPr>
        <w:rFonts w:ascii="Latin725 BT" w:hAnsi="Latin725 BT"/>
        <w:b/>
        <w:sz w:val="24"/>
        <w:szCs w:val="24"/>
      </w:rPr>
    </w:pPr>
    <w:r>
      <w:rPr>
        <w:rFonts w:ascii="Latin725 BT" w:hAnsi="Latin725 BT"/>
        <w:b/>
        <w:sz w:val="24"/>
        <w:szCs w:val="24"/>
      </w:rPr>
      <w:t xml:space="preserve"> L I C E O     S T A T A L E</w:t>
    </w:r>
  </w:p>
  <w:p w:rsidR="00844E6B" w:rsidRDefault="00844E6B" w:rsidP="00844E6B">
    <w:pPr>
      <w:pStyle w:val="Intestazione"/>
      <w:jc w:val="center"/>
      <w:rPr>
        <w:rFonts w:ascii="Latin725 BT" w:hAnsi="Latin725 BT"/>
        <w:b/>
        <w:i/>
        <w:sz w:val="24"/>
        <w:szCs w:val="24"/>
      </w:rPr>
    </w:pPr>
    <w:r>
      <w:rPr>
        <w:rFonts w:ascii="Latin725 BT" w:hAnsi="Latin725 BT"/>
        <w:b/>
        <w:i/>
        <w:sz w:val="24"/>
        <w:szCs w:val="24"/>
      </w:rPr>
      <w:t>Lucrezia Della Valle</w:t>
    </w:r>
  </w:p>
  <w:p w:rsidR="00844E6B" w:rsidRDefault="00844E6B" w:rsidP="00844E6B">
    <w:pPr>
      <w:pStyle w:val="Intestazione"/>
      <w:jc w:val="center"/>
      <w:rPr>
        <w:rFonts w:ascii="Latin725 BT" w:hAnsi="Latin725 BT"/>
        <w:i/>
        <w:sz w:val="24"/>
        <w:szCs w:val="24"/>
      </w:rPr>
    </w:pPr>
    <w:r>
      <w:rPr>
        <w:rFonts w:ascii="Latin725 BT" w:hAnsi="Latin725 BT"/>
        <w:i/>
        <w:sz w:val="24"/>
        <w:szCs w:val="24"/>
      </w:rPr>
      <w:t>Piazza Amendola, 8 - 87100 Cosenza</w:t>
    </w:r>
  </w:p>
  <w:p w:rsidR="00844E6B" w:rsidRDefault="00844E6B" w:rsidP="00844E6B">
    <w:pPr>
      <w:pStyle w:val="Intestazione"/>
      <w:jc w:val="center"/>
      <w:rPr>
        <w:rFonts w:ascii="Latin725 BT" w:hAnsi="Latin725 BT"/>
        <w: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04E84"/>
    <w:multiLevelType w:val="multilevel"/>
    <w:tmpl w:val="BC2C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8146C"/>
    <w:multiLevelType w:val="multilevel"/>
    <w:tmpl w:val="6532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803940"/>
    <w:multiLevelType w:val="multilevel"/>
    <w:tmpl w:val="3C38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FF"/>
    <w:rsid w:val="002D0E35"/>
    <w:rsid w:val="00844E6B"/>
    <w:rsid w:val="00A30AFF"/>
    <w:rsid w:val="00CD3AE0"/>
    <w:rsid w:val="00D0364D"/>
    <w:rsid w:val="00FA15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E32C263-3A61-42CE-B88D-9EF880BC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D3AE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D3AE0"/>
    <w:rPr>
      <w:b/>
      <w:bCs/>
    </w:rPr>
  </w:style>
  <w:style w:type="character" w:customStyle="1" w:styleId="apple-converted-space">
    <w:name w:val="apple-converted-space"/>
    <w:basedOn w:val="Carpredefinitoparagrafo"/>
    <w:rsid w:val="00CD3AE0"/>
  </w:style>
  <w:style w:type="character" w:styleId="Enfasicorsivo">
    <w:name w:val="Emphasis"/>
    <w:basedOn w:val="Carpredefinitoparagrafo"/>
    <w:uiPriority w:val="20"/>
    <w:qFormat/>
    <w:rsid w:val="00CD3AE0"/>
    <w:rPr>
      <w:i/>
      <w:iCs/>
    </w:rPr>
  </w:style>
  <w:style w:type="paragraph" w:styleId="Intestazione">
    <w:name w:val="header"/>
    <w:basedOn w:val="Normale"/>
    <w:link w:val="IntestazioneCarattere"/>
    <w:unhideWhenUsed/>
    <w:rsid w:val="00844E6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rsid w:val="00844E6B"/>
  </w:style>
  <w:style w:type="paragraph" w:styleId="Pidipagina">
    <w:name w:val="footer"/>
    <w:basedOn w:val="Normale"/>
    <w:link w:val="PidipaginaCarattere"/>
    <w:uiPriority w:val="99"/>
    <w:unhideWhenUsed/>
    <w:rsid w:val="00844E6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44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24009">
      <w:bodyDiv w:val="1"/>
      <w:marLeft w:val="0"/>
      <w:marRight w:val="0"/>
      <w:marTop w:val="0"/>
      <w:marBottom w:val="0"/>
      <w:divBdr>
        <w:top w:val="none" w:sz="0" w:space="0" w:color="auto"/>
        <w:left w:val="none" w:sz="0" w:space="0" w:color="auto"/>
        <w:bottom w:val="none" w:sz="0" w:space="0" w:color="auto"/>
        <w:right w:val="none" w:sz="0" w:space="0" w:color="auto"/>
      </w:divBdr>
    </w:div>
    <w:div w:id="119920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D479A-AD23-4C3B-AF2B-77A01DAD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2164</Words>
  <Characters>12335</Characters>
  <Application>Microsoft Office Word</Application>
  <DocSecurity>0</DocSecurity>
  <Lines>102</Lines>
  <Paragraphs>28</Paragraphs>
  <ScaleCrop>false</ScaleCrop>
  <Company/>
  <LinksUpToDate>false</LinksUpToDate>
  <CharactersWithSpaces>14471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dc:creator>
  <cp:keywords/>
  <dc:description/>
  <cp:lastModifiedBy>Gabriella</cp:lastModifiedBy>
  <cp:revision>6</cp:revision>
  <dcterms:created xsi:type="dcterms:W3CDTF">2016-05-21T00:50:00Z</dcterms:created>
  <dcterms:modified xsi:type="dcterms:W3CDTF">2016-06-06T02:38:00Z</dcterms:modified>
</cp:coreProperties>
</file>